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DD90" w14:textId="77777777" w:rsidR="00D1191B" w:rsidRDefault="00D1191B" w:rsidP="00D1191B">
      <w:pPr>
        <w:jc w:val="center"/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</w:pPr>
    </w:p>
    <w:p w14:paraId="2F468425" w14:textId="35D6CD90" w:rsidR="00186C10" w:rsidRPr="00D1191B" w:rsidRDefault="00D1191B" w:rsidP="00D1191B">
      <w:pPr>
        <w:jc w:val="center"/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</w:pPr>
      <w:r w:rsidRPr="00D1191B"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  <w:t>S</w:t>
      </w:r>
      <w:r w:rsidR="00084C86" w:rsidRPr="00D1191B"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  <w:t>tate of play of green economy and innovation</w:t>
      </w:r>
      <w:r w:rsidRPr="00D1191B"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  <w:t xml:space="preserve"> </w:t>
      </w:r>
      <w:r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  <w:br/>
      </w:r>
      <w:r w:rsidRPr="00D1191B">
        <w:rPr>
          <w:rFonts w:ascii="Open Sans" w:hAnsi="Open Sans" w:cs="Open Sans"/>
          <w:b/>
          <w:bCs/>
          <w:color w:val="009999"/>
          <w:sz w:val="28"/>
          <w:szCs w:val="28"/>
          <w:lang w:val="en-US"/>
        </w:rPr>
        <w:t>in the transnational area</w:t>
      </w:r>
    </w:p>
    <w:p w14:paraId="326DE37E" w14:textId="77777777" w:rsidR="00D1191B" w:rsidRDefault="00D1191B" w:rsidP="00665B9F">
      <w:pPr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2140684D" w14:textId="5F78A564" w:rsidR="00931922" w:rsidRDefault="00931922" w:rsidP="00665B9F">
      <w:p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sz w:val="22"/>
          <w:szCs w:val="22"/>
          <w:lang w:val="en-US"/>
        </w:rPr>
        <w:t xml:space="preserve">The </w:t>
      </w:r>
      <w:r w:rsidR="00A4370E" w:rsidRPr="00665B9F">
        <w:rPr>
          <w:rFonts w:ascii="Open Sans" w:hAnsi="Open Sans" w:cs="Open Sans"/>
          <w:sz w:val="22"/>
          <w:szCs w:val="22"/>
          <w:lang w:val="en-US"/>
        </w:rPr>
        <w:t xml:space="preserve">joint report </w:t>
      </w:r>
      <w:r w:rsidR="00114BF1" w:rsidRPr="00665B9F">
        <w:rPr>
          <w:rFonts w:ascii="Open Sans" w:hAnsi="Open Sans" w:cs="Open Sans"/>
          <w:sz w:val="22"/>
          <w:szCs w:val="22"/>
          <w:lang w:val="en-US"/>
        </w:rPr>
        <w:t>on the state of play of green economy and innovation at GREENSMEs project level</w:t>
      </w:r>
      <w:r w:rsidR="00604CEA" w:rsidRPr="00665B9F">
        <w:rPr>
          <w:rFonts w:ascii="Open Sans" w:hAnsi="Open Sans" w:cs="Open Sans"/>
          <w:sz w:val="22"/>
          <w:szCs w:val="22"/>
          <w:lang w:val="en-US"/>
        </w:rPr>
        <w:t>,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compared the current situation and good practices across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nine countries</w:t>
      </w:r>
      <w:r w:rsidR="00604CEA" w:rsidRPr="00665B9F">
        <w:rPr>
          <w:rFonts w:ascii="Open Sans" w:hAnsi="Open Sans" w:cs="Open Sans"/>
          <w:b/>
          <w:bCs/>
          <w:sz w:val="22"/>
          <w:szCs w:val="22"/>
          <w:lang w:val="en-US"/>
        </w:rPr>
        <w:t>/regions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(</w:t>
      </w:r>
      <w:r w:rsidR="00604CEA" w:rsidRPr="00665B9F">
        <w:rPr>
          <w:rFonts w:ascii="Open Sans" w:hAnsi="Open Sans" w:cs="Open Sans"/>
          <w:sz w:val="22"/>
          <w:szCs w:val="22"/>
          <w:lang w:val="en-US"/>
        </w:rPr>
        <w:t>Puglia-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Italy, </w:t>
      </w:r>
      <w:r w:rsidR="00604CEA" w:rsidRPr="00665B9F">
        <w:rPr>
          <w:rFonts w:ascii="Open Sans" w:hAnsi="Open Sans" w:cs="Open Sans"/>
          <w:sz w:val="22"/>
          <w:szCs w:val="22"/>
          <w:lang w:val="en-US"/>
        </w:rPr>
        <w:t>Central Macedonia-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Greece, Slovenia, </w:t>
      </w:r>
      <w:r w:rsidR="00604CEA" w:rsidRPr="00665B9F">
        <w:rPr>
          <w:rFonts w:ascii="Open Sans" w:hAnsi="Open Sans" w:cs="Open Sans"/>
          <w:sz w:val="22"/>
          <w:szCs w:val="22"/>
          <w:lang w:val="en-US"/>
        </w:rPr>
        <w:t>Zadar-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Croatia, </w:t>
      </w:r>
      <w:r w:rsidR="00604CEA" w:rsidRPr="00665B9F">
        <w:rPr>
          <w:rFonts w:ascii="Open Sans" w:hAnsi="Open Sans" w:cs="Open Sans"/>
          <w:sz w:val="22"/>
          <w:szCs w:val="22"/>
          <w:lang w:val="en-US"/>
        </w:rPr>
        <w:t>Banja Luka (RS)-</w:t>
      </w:r>
      <w:r w:rsidRPr="00931922">
        <w:rPr>
          <w:rFonts w:ascii="Open Sans" w:hAnsi="Open Sans" w:cs="Open Sans"/>
          <w:sz w:val="22"/>
          <w:szCs w:val="22"/>
          <w:lang w:val="en-US"/>
        </w:rPr>
        <w:t>Bosnia &amp; Herzegovina, Serbia, Albania, North Macedonia, and Montenegro) to understand how small and medium-sized enterprises (SMEs) are moving toward</w:t>
      </w:r>
      <w:r w:rsidR="00D555D6">
        <w:rPr>
          <w:rFonts w:ascii="Open Sans" w:hAnsi="Open Sans" w:cs="Open Sans"/>
          <w:sz w:val="22"/>
          <w:szCs w:val="22"/>
          <w:lang w:val="en-US"/>
        </w:rPr>
        <w:t>s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a greener economy.</w:t>
      </w:r>
    </w:p>
    <w:p w14:paraId="4F284385" w14:textId="77777777" w:rsidR="00186C10" w:rsidRPr="00931922" w:rsidRDefault="00186C10" w:rsidP="00665B9F">
      <w:pPr>
        <w:jc w:val="both"/>
        <w:rPr>
          <w:rFonts w:ascii="Open Sans" w:hAnsi="Open Sans" w:cs="Open Sans"/>
          <w:sz w:val="22"/>
          <w:szCs w:val="22"/>
          <w:lang w:val="en-US"/>
        </w:rPr>
      </w:pPr>
    </w:p>
    <w:p w14:paraId="3EEE0C44" w14:textId="59025385" w:rsidR="00931922" w:rsidRPr="00931922" w:rsidRDefault="005A38E3" w:rsidP="00665B9F">
      <w:pPr>
        <w:jc w:val="both"/>
        <w:rPr>
          <w:rFonts w:ascii="Open Sans" w:hAnsi="Open Sans" w:cs="Open Sans"/>
          <w:b/>
          <w:bCs/>
          <w:sz w:val="22"/>
          <w:szCs w:val="22"/>
          <w:lang w:val="en-US"/>
        </w:rPr>
      </w:pPr>
      <w:r w:rsidRPr="00665B9F">
        <w:rPr>
          <w:rFonts w:ascii="Open Sans" w:hAnsi="Open Sans" w:cs="Open Sans"/>
          <w:b/>
          <w:bCs/>
          <w:sz w:val="22"/>
          <w:szCs w:val="22"/>
          <w:lang w:val="en-US"/>
        </w:rPr>
        <w:t>Key Findings</w:t>
      </w:r>
    </w:p>
    <w:p w14:paraId="7B915F37" w14:textId="48CE349E" w:rsidR="00931922" w:rsidRPr="00931922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Shared commitment, uneven progress</w:t>
      </w:r>
      <w:r w:rsidR="005F3463" w:rsidRPr="00665B9F">
        <w:rPr>
          <w:rFonts w:ascii="Open Sans" w:hAnsi="Open Sans" w:cs="Open Sans"/>
          <w:b/>
          <w:bCs/>
          <w:sz w:val="22"/>
          <w:szCs w:val="22"/>
          <w:lang w:val="en-US"/>
        </w:rPr>
        <w:t>: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All countries have strategies aligned with the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European Green Deal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or the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Green Agenda for the Western Balkans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. EU members (Italy, Greece, Slovenia, Croatia) are generally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more advanced in implementation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, while candidate countries </w:t>
      </w:r>
      <w:r w:rsidR="00D50CA5" w:rsidRPr="00665B9F">
        <w:rPr>
          <w:rFonts w:ascii="Open Sans" w:hAnsi="Open Sans" w:cs="Open Sans"/>
          <w:sz w:val="22"/>
          <w:szCs w:val="22"/>
          <w:lang w:val="en-US"/>
        </w:rPr>
        <w:t xml:space="preserve">(Albania, North Macedonia, Montenegro, Serbia) </w:t>
      </w:r>
      <w:r w:rsidR="004B078B" w:rsidRPr="00665B9F">
        <w:rPr>
          <w:rFonts w:ascii="Open Sans" w:hAnsi="Open Sans" w:cs="Open Sans"/>
          <w:sz w:val="22"/>
          <w:szCs w:val="22"/>
          <w:lang w:val="en-US"/>
        </w:rPr>
        <w:t>and potential candidate (</w:t>
      </w:r>
      <w:r w:rsidR="008D318D" w:rsidRPr="00665B9F">
        <w:rPr>
          <w:rFonts w:ascii="Open Sans" w:hAnsi="Open Sans" w:cs="Open Sans"/>
          <w:sz w:val="22"/>
          <w:szCs w:val="22"/>
          <w:lang w:val="en-US"/>
        </w:rPr>
        <w:t xml:space="preserve">Bosnia Herzegovina) 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are </w:t>
      </w:r>
      <w:r w:rsidR="0000270E">
        <w:rPr>
          <w:rFonts w:ascii="Open Sans" w:hAnsi="Open Sans" w:cs="Open Sans"/>
          <w:sz w:val="22"/>
          <w:szCs w:val="22"/>
          <w:lang w:val="en-US"/>
        </w:rPr>
        <w:t xml:space="preserve">in a process of </w:t>
      </w:r>
      <w:r w:rsidRPr="00931922">
        <w:rPr>
          <w:rFonts w:ascii="Open Sans" w:hAnsi="Open Sans" w:cs="Open Sans"/>
          <w:sz w:val="22"/>
          <w:szCs w:val="22"/>
          <w:lang w:val="en-US"/>
        </w:rPr>
        <w:t>capacity</w:t>
      </w:r>
      <w:r w:rsidR="0000270E">
        <w:rPr>
          <w:rFonts w:ascii="Open Sans" w:hAnsi="Open Sans" w:cs="Open Sans"/>
          <w:sz w:val="22"/>
          <w:szCs w:val="22"/>
          <w:lang w:val="en-US"/>
        </w:rPr>
        <w:t xml:space="preserve"> building</w:t>
      </w:r>
      <w:r w:rsidRPr="00931922">
        <w:rPr>
          <w:rFonts w:ascii="Open Sans" w:hAnsi="Open Sans" w:cs="Open Sans"/>
          <w:sz w:val="22"/>
          <w:szCs w:val="22"/>
          <w:lang w:val="en-US"/>
        </w:rPr>
        <w:t>.</w:t>
      </w:r>
    </w:p>
    <w:p w14:paraId="12FEB14D" w14:textId="25CD8365" w:rsidR="00931922" w:rsidRPr="00931922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 xml:space="preserve">Circular </w:t>
      </w:r>
      <w:r w:rsidR="00A22A5C" w:rsidRPr="00665B9F">
        <w:rPr>
          <w:rFonts w:ascii="Open Sans" w:hAnsi="Open Sans" w:cs="Open Sans"/>
          <w:b/>
          <w:bCs/>
          <w:sz w:val="22"/>
          <w:szCs w:val="22"/>
          <w:lang w:val="en-US"/>
        </w:rPr>
        <w:t xml:space="preserve">economies are </w:t>
      </w:r>
      <w:r w:rsidR="000F0146" w:rsidRPr="00665B9F">
        <w:rPr>
          <w:rFonts w:ascii="Open Sans" w:hAnsi="Open Sans" w:cs="Open Sans"/>
          <w:b/>
          <w:bCs/>
          <w:sz w:val="22"/>
          <w:szCs w:val="22"/>
          <w:lang w:val="en-US"/>
        </w:rPr>
        <w:t>emerg</w:t>
      </w:r>
      <w:r w:rsidR="00BC6537" w:rsidRPr="00665B9F">
        <w:rPr>
          <w:rFonts w:ascii="Open Sans" w:hAnsi="Open Sans" w:cs="Open Sans"/>
          <w:b/>
          <w:bCs/>
          <w:sz w:val="22"/>
          <w:szCs w:val="22"/>
          <w:lang w:val="en-US"/>
        </w:rPr>
        <w:t>ing</w:t>
      </w:r>
      <w:r w:rsidR="005F3463" w:rsidRPr="00665B9F">
        <w:rPr>
          <w:rFonts w:ascii="Open Sans" w:hAnsi="Open Sans" w:cs="Open Sans"/>
          <w:b/>
          <w:bCs/>
          <w:sz w:val="22"/>
          <w:szCs w:val="22"/>
          <w:lang w:val="en-US"/>
        </w:rPr>
        <w:t>:</w:t>
      </w:r>
      <w:r w:rsidR="009413AF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931922">
        <w:rPr>
          <w:rFonts w:ascii="Open Sans" w:hAnsi="Open Sans" w:cs="Open Sans"/>
          <w:sz w:val="22"/>
          <w:szCs w:val="22"/>
          <w:lang w:val="en-US"/>
        </w:rPr>
        <w:t>Recycling and waste management rates vary</w:t>
      </w:r>
      <w:r w:rsidR="009413AF" w:rsidRPr="00665B9F">
        <w:rPr>
          <w:rFonts w:ascii="Open Sans" w:hAnsi="Open Sans" w:cs="Open Sans"/>
          <w:sz w:val="22"/>
          <w:szCs w:val="22"/>
          <w:lang w:val="en-US"/>
        </w:rPr>
        <w:t>.</w:t>
      </w:r>
      <w:r w:rsidR="00D50CA5" w:rsidRPr="00665B9F">
        <w:rPr>
          <w:rFonts w:ascii="Open Sans" w:hAnsi="Open Sans" w:cs="Open Sans"/>
          <w:sz w:val="22"/>
          <w:szCs w:val="22"/>
          <w:lang w:val="en-US"/>
        </w:rPr>
        <w:t xml:space="preserve"> From Italy (Puglia Region) </w:t>
      </w:r>
      <w:r w:rsidR="00AB7015" w:rsidRPr="00665B9F">
        <w:rPr>
          <w:rFonts w:ascii="Open Sans" w:hAnsi="Open Sans" w:cs="Open Sans"/>
          <w:sz w:val="22"/>
          <w:szCs w:val="22"/>
          <w:lang w:val="en-US"/>
        </w:rPr>
        <w:t xml:space="preserve">displaying advanced </w:t>
      </w:r>
      <w:r w:rsidR="00C4294D" w:rsidRPr="00665B9F">
        <w:rPr>
          <w:rFonts w:ascii="Open Sans" w:hAnsi="Open Sans" w:cs="Open Sans"/>
          <w:sz w:val="22"/>
          <w:szCs w:val="22"/>
          <w:lang w:val="en-US"/>
        </w:rPr>
        <w:t>recycling with</w:t>
      </w:r>
      <w:r w:rsidR="00D50CA5" w:rsidRPr="00665B9F">
        <w:rPr>
          <w:rFonts w:ascii="Open Sans" w:hAnsi="Open Sans" w:cs="Open Sans"/>
          <w:sz w:val="22"/>
          <w:szCs w:val="22"/>
          <w:lang w:val="en-US"/>
        </w:rPr>
        <w:t xml:space="preserve"> waste</w:t>
      </w:r>
      <w:r w:rsidR="00535C63" w:rsidRPr="00665B9F">
        <w:rPr>
          <w:rFonts w:ascii="Open Sans" w:hAnsi="Open Sans" w:cs="Open Sans"/>
          <w:sz w:val="22"/>
          <w:szCs w:val="22"/>
          <w:lang w:val="en-US"/>
        </w:rPr>
        <w:t>-</w:t>
      </w:r>
      <w:r w:rsidR="00D50CA5" w:rsidRPr="00665B9F">
        <w:rPr>
          <w:rFonts w:ascii="Open Sans" w:hAnsi="Open Sans" w:cs="Open Sans"/>
          <w:sz w:val="22"/>
          <w:szCs w:val="22"/>
          <w:lang w:val="en-US"/>
        </w:rPr>
        <w:t xml:space="preserve"> to</w:t>
      </w:r>
      <w:r w:rsidR="00535C63" w:rsidRPr="00665B9F">
        <w:rPr>
          <w:rFonts w:ascii="Open Sans" w:hAnsi="Open Sans" w:cs="Open Sans"/>
          <w:sz w:val="22"/>
          <w:szCs w:val="22"/>
          <w:lang w:val="en-US"/>
        </w:rPr>
        <w:t>-</w:t>
      </w:r>
      <w:r w:rsidR="00D50CA5" w:rsidRPr="00665B9F">
        <w:rPr>
          <w:rFonts w:ascii="Open Sans" w:hAnsi="Open Sans" w:cs="Open Sans"/>
          <w:sz w:val="22"/>
          <w:szCs w:val="22"/>
          <w:lang w:val="en-US"/>
        </w:rPr>
        <w:t xml:space="preserve">energy </w:t>
      </w:r>
      <w:r w:rsidR="00535C63" w:rsidRPr="00665B9F">
        <w:rPr>
          <w:rFonts w:ascii="Open Sans" w:hAnsi="Open Sans" w:cs="Open Sans"/>
          <w:sz w:val="22"/>
          <w:szCs w:val="22"/>
          <w:lang w:val="en-US"/>
        </w:rPr>
        <w:t>plants</w:t>
      </w:r>
      <w:r w:rsidR="002D0CE9" w:rsidRPr="00665B9F">
        <w:rPr>
          <w:rFonts w:ascii="Open Sans" w:hAnsi="Open Sans" w:cs="Open Sans"/>
          <w:sz w:val="22"/>
          <w:szCs w:val="22"/>
          <w:lang w:val="en-US"/>
        </w:rPr>
        <w:t xml:space="preserve"> and recycling </w:t>
      </w:r>
      <w:r w:rsidR="000F0146" w:rsidRPr="00665B9F">
        <w:rPr>
          <w:rFonts w:ascii="Open Sans" w:hAnsi="Open Sans" w:cs="Open Sans"/>
          <w:sz w:val="22"/>
          <w:szCs w:val="22"/>
          <w:lang w:val="en-US"/>
        </w:rPr>
        <w:t>centers</w:t>
      </w:r>
      <w:r w:rsidR="00373B45" w:rsidRPr="00665B9F">
        <w:rPr>
          <w:rFonts w:ascii="Open Sans" w:hAnsi="Open Sans" w:cs="Open Sans"/>
          <w:sz w:val="22"/>
          <w:szCs w:val="22"/>
          <w:lang w:val="en-US"/>
        </w:rPr>
        <w:t xml:space="preserve"> and</w:t>
      </w:r>
      <w:r w:rsidR="00C4294D" w:rsidRPr="00665B9F">
        <w:rPr>
          <w:rFonts w:ascii="Open Sans" w:hAnsi="Open Sans" w:cs="Open Sans"/>
          <w:sz w:val="22"/>
          <w:szCs w:val="22"/>
          <w:lang w:val="en-US"/>
        </w:rPr>
        <w:t xml:space="preserve"> Slovenia presenting 59% of waste being recycled</w:t>
      </w:r>
      <w:r w:rsidR="005F3463" w:rsidRPr="00665B9F">
        <w:rPr>
          <w:rFonts w:ascii="Open Sans" w:hAnsi="Open Sans" w:cs="Open Sans"/>
          <w:sz w:val="22"/>
          <w:szCs w:val="22"/>
          <w:lang w:val="en-US"/>
        </w:rPr>
        <w:t>,</w:t>
      </w:r>
      <w:r w:rsidR="00C4294D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3F16B5" w:rsidRPr="00665B9F">
        <w:rPr>
          <w:rFonts w:ascii="Open Sans" w:hAnsi="Open Sans" w:cs="Open Sans"/>
          <w:sz w:val="22"/>
          <w:szCs w:val="22"/>
          <w:lang w:val="en-US"/>
        </w:rPr>
        <w:t>to</w:t>
      </w:r>
      <w:r w:rsidR="003E13DA" w:rsidRPr="00665B9F">
        <w:rPr>
          <w:rFonts w:ascii="Open Sans" w:hAnsi="Open Sans" w:cs="Open Sans"/>
          <w:sz w:val="22"/>
          <w:szCs w:val="22"/>
          <w:lang w:val="en-US"/>
        </w:rPr>
        <w:t xml:space="preserve"> other countries</w:t>
      </w:r>
      <w:r w:rsidR="002D0CE9" w:rsidRPr="00665B9F">
        <w:rPr>
          <w:rFonts w:ascii="Open Sans" w:hAnsi="Open Sans" w:cs="Open Sans"/>
          <w:sz w:val="22"/>
          <w:szCs w:val="22"/>
          <w:lang w:val="en-US"/>
        </w:rPr>
        <w:t>/regions</w:t>
      </w:r>
      <w:r w:rsidR="003E13DA" w:rsidRPr="00665B9F">
        <w:rPr>
          <w:rFonts w:ascii="Open Sans" w:hAnsi="Open Sans" w:cs="Open Sans"/>
          <w:sz w:val="22"/>
          <w:szCs w:val="22"/>
          <w:lang w:val="en-US"/>
        </w:rPr>
        <w:t xml:space="preserve"> presen</w:t>
      </w:r>
      <w:r w:rsidR="006B35EC" w:rsidRPr="00665B9F">
        <w:rPr>
          <w:rFonts w:ascii="Open Sans" w:hAnsi="Open Sans" w:cs="Open Sans"/>
          <w:sz w:val="22"/>
          <w:szCs w:val="22"/>
          <w:lang w:val="en-US"/>
        </w:rPr>
        <w:t xml:space="preserve">ting </w:t>
      </w:r>
      <w:r w:rsidR="002D0CE9" w:rsidRPr="00665B9F">
        <w:rPr>
          <w:rFonts w:ascii="Open Sans" w:hAnsi="Open Sans" w:cs="Open Sans"/>
          <w:sz w:val="22"/>
          <w:szCs w:val="22"/>
          <w:lang w:val="en-US"/>
        </w:rPr>
        <w:t xml:space="preserve">either less than 6% of recycling or </w:t>
      </w:r>
      <w:r w:rsidR="00157AD7" w:rsidRPr="00665B9F">
        <w:rPr>
          <w:rFonts w:ascii="Open Sans" w:hAnsi="Open Sans" w:cs="Open Sans"/>
          <w:sz w:val="22"/>
          <w:szCs w:val="22"/>
          <w:lang w:val="en-US"/>
        </w:rPr>
        <w:t>not specified rates.</w:t>
      </w:r>
      <w:r w:rsidR="00C4294D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Stronger </w:t>
      </w:r>
      <w:r w:rsidR="00610B06" w:rsidRPr="00665B9F">
        <w:rPr>
          <w:rFonts w:ascii="Open Sans" w:hAnsi="Open Sans" w:cs="Open Sans"/>
          <w:sz w:val="22"/>
          <w:szCs w:val="22"/>
          <w:lang w:val="en-US"/>
        </w:rPr>
        <w:t xml:space="preserve">collaboration among key stakeholders, </w:t>
      </w:r>
      <w:r w:rsidRPr="00931922">
        <w:rPr>
          <w:rFonts w:ascii="Open Sans" w:hAnsi="Open Sans" w:cs="Open Sans"/>
          <w:sz w:val="22"/>
          <w:szCs w:val="22"/>
          <w:lang w:val="en-US"/>
        </w:rPr>
        <w:t>infrastructure</w:t>
      </w:r>
      <w:r w:rsidR="009413AF" w:rsidRPr="00665B9F">
        <w:rPr>
          <w:rFonts w:ascii="Open Sans" w:hAnsi="Open Sans" w:cs="Open Sans"/>
          <w:sz w:val="22"/>
          <w:szCs w:val="22"/>
          <w:lang w:val="en-US"/>
        </w:rPr>
        <w:t xml:space="preserve">, capacity building and 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public awareness are </w:t>
      </w:r>
      <w:r w:rsidR="009413AF" w:rsidRPr="00665B9F">
        <w:rPr>
          <w:rFonts w:ascii="Open Sans" w:hAnsi="Open Sans" w:cs="Open Sans"/>
          <w:sz w:val="22"/>
          <w:szCs w:val="22"/>
          <w:lang w:val="en-US"/>
        </w:rPr>
        <w:t xml:space="preserve">underlined as </w:t>
      </w:r>
      <w:r w:rsidRPr="00931922">
        <w:rPr>
          <w:rFonts w:ascii="Open Sans" w:hAnsi="Open Sans" w:cs="Open Sans"/>
          <w:sz w:val="22"/>
          <w:szCs w:val="22"/>
          <w:lang w:val="en-US"/>
        </w:rPr>
        <w:t>key needs.</w:t>
      </w:r>
    </w:p>
    <w:p w14:paraId="4FE4953D" w14:textId="61EDAD92" w:rsidR="00931922" w:rsidRPr="00931922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Renewable energy expansion: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Italy, Greece, and Slovenia </w:t>
      </w:r>
      <w:r w:rsidR="00F27FA4" w:rsidRPr="00665B9F">
        <w:rPr>
          <w:rFonts w:ascii="Open Sans" w:hAnsi="Open Sans" w:cs="Open Sans"/>
          <w:sz w:val="22"/>
          <w:szCs w:val="22"/>
          <w:lang w:val="en-US"/>
        </w:rPr>
        <w:t>although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4248BC" w:rsidRPr="00665B9F">
        <w:rPr>
          <w:rFonts w:ascii="Open Sans" w:hAnsi="Open Sans" w:cs="Open Sans"/>
          <w:sz w:val="22"/>
          <w:szCs w:val="22"/>
          <w:lang w:val="en-US"/>
        </w:rPr>
        <w:t xml:space="preserve">seem to be </w:t>
      </w:r>
      <w:r w:rsidRPr="00931922">
        <w:rPr>
          <w:rFonts w:ascii="Open Sans" w:hAnsi="Open Sans" w:cs="Open Sans"/>
          <w:sz w:val="22"/>
          <w:szCs w:val="22"/>
          <w:lang w:val="en-US"/>
        </w:rPr>
        <w:t>leading</w:t>
      </w:r>
      <w:r w:rsidR="00347CEA" w:rsidRPr="00665B9F">
        <w:rPr>
          <w:rFonts w:ascii="Open Sans" w:hAnsi="Open Sans" w:cs="Open Sans"/>
          <w:sz w:val="22"/>
          <w:szCs w:val="22"/>
          <w:lang w:val="en-US"/>
        </w:rPr>
        <w:t>,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347CEA" w:rsidRPr="00665B9F">
        <w:rPr>
          <w:rFonts w:ascii="Open Sans" w:hAnsi="Open Sans" w:cs="Open Sans"/>
          <w:sz w:val="22"/>
          <w:szCs w:val="22"/>
          <w:lang w:val="en-US"/>
        </w:rPr>
        <w:t xml:space="preserve">nevertheless all countries </w:t>
      </w:r>
      <w:r w:rsidR="004B6D42" w:rsidRPr="00665B9F">
        <w:rPr>
          <w:rFonts w:ascii="Open Sans" w:hAnsi="Open Sans" w:cs="Open Sans"/>
          <w:sz w:val="22"/>
          <w:szCs w:val="22"/>
          <w:lang w:val="en-US"/>
        </w:rPr>
        <w:t>underline</w:t>
      </w:r>
      <w:r w:rsidR="00E41C02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 xml:space="preserve">financial and technological </w:t>
      </w:r>
      <w:r w:rsidR="00D77DDA" w:rsidRPr="00665B9F">
        <w:rPr>
          <w:rFonts w:ascii="Open Sans" w:hAnsi="Open Sans" w:cs="Open Sans"/>
          <w:b/>
          <w:bCs/>
          <w:sz w:val="22"/>
          <w:szCs w:val="22"/>
          <w:lang w:val="en-US"/>
        </w:rPr>
        <w:t>challenges</w:t>
      </w:r>
      <w:r w:rsidR="00D64C33" w:rsidRPr="00665B9F">
        <w:rPr>
          <w:rFonts w:ascii="Open Sans" w:hAnsi="Open Sans" w:cs="Open Sans"/>
          <w:b/>
          <w:bCs/>
          <w:sz w:val="22"/>
          <w:szCs w:val="22"/>
          <w:lang w:val="en-US"/>
        </w:rPr>
        <w:t xml:space="preserve">. </w:t>
      </w:r>
      <w:r w:rsidR="001C2B87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0D48CD" w:rsidRPr="00665B9F">
        <w:rPr>
          <w:rFonts w:ascii="Open Sans" w:hAnsi="Open Sans" w:cs="Open Sans"/>
          <w:sz w:val="22"/>
          <w:szCs w:val="22"/>
          <w:lang w:val="en-US"/>
        </w:rPr>
        <w:t>Sug</w:t>
      </w:r>
      <w:r w:rsidR="009E79BB" w:rsidRPr="00665B9F">
        <w:rPr>
          <w:rFonts w:ascii="Open Sans" w:hAnsi="Open Sans" w:cs="Open Sans"/>
          <w:sz w:val="22"/>
          <w:szCs w:val="22"/>
          <w:lang w:val="en-US"/>
        </w:rPr>
        <w:t xml:space="preserve">gestions for </w:t>
      </w:r>
      <w:r w:rsidR="001C2B87" w:rsidRPr="00665B9F">
        <w:rPr>
          <w:rFonts w:ascii="Open Sans" w:hAnsi="Open Sans" w:cs="Open Sans"/>
          <w:sz w:val="22"/>
          <w:szCs w:val="22"/>
          <w:lang w:val="en-US"/>
        </w:rPr>
        <w:t>multi-stakeholder</w:t>
      </w:r>
      <w:r w:rsidR="001C2B87" w:rsidRPr="00665B9F">
        <w:rPr>
          <w:rFonts w:ascii="Open Sans" w:eastAsia="Aptos" w:hAnsi="Open Sans" w:cs="Open Sans"/>
          <w:sz w:val="22"/>
          <w:szCs w:val="22"/>
          <w:lang w:val="en-US"/>
        </w:rPr>
        <w:t xml:space="preserve"> </w:t>
      </w:r>
      <w:r w:rsidR="00347CEA" w:rsidRPr="00665B9F">
        <w:rPr>
          <w:rFonts w:ascii="Open Sans" w:hAnsi="Open Sans" w:cs="Open Sans"/>
          <w:b/>
          <w:bCs/>
          <w:sz w:val="22"/>
          <w:szCs w:val="22"/>
          <w:lang w:val="en-US"/>
        </w:rPr>
        <w:t>collaboration networks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1C2B87" w:rsidRPr="00665B9F">
        <w:rPr>
          <w:rFonts w:ascii="Open Sans" w:hAnsi="Open Sans" w:cs="Open Sans"/>
          <w:sz w:val="22"/>
          <w:szCs w:val="22"/>
          <w:lang w:val="en-US"/>
        </w:rPr>
        <w:t>and exploit</w:t>
      </w:r>
      <w:r w:rsidR="00D64C33" w:rsidRPr="00665B9F">
        <w:rPr>
          <w:rFonts w:ascii="Open Sans" w:hAnsi="Open Sans" w:cs="Open Sans"/>
          <w:sz w:val="22"/>
          <w:szCs w:val="22"/>
          <w:lang w:val="en-US"/>
        </w:rPr>
        <w:t>ation of</w:t>
      </w:r>
      <w:r w:rsidR="001C2B87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1C2B87" w:rsidRPr="00665B9F">
        <w:rPr>
          <w:rFonts w:ascii="Open Sans" w:hAnsi="Open Sans" w:cs="Open Sans"/>
          <w:b/>
          <w:bCs/>
          <w:sz w:val="22"/>
          <w:szCs w:val="22"/>
          <w:lang w:val="en-US"/>
        </w:rPr>
        <w:t xml:space="preserve">transnational cooperation </w:t>
      </w:r>
      <w:r w:rsidR="00D3676A" w:rsidRPr="00665B9F">
        <w:rPr>
          <w:rFonts w:ascii="Open Sans" w:hAnsi="Open Sans" w:cs="Open Sans"/>
          <w:b/>
          <w:bCs/>
          <w:sz w:val="22"/>
          <w:szCs w:val="22"/>
          <w:lang w:val="en-US"/>
        </w:rPr>
        <w:t>initiatives</w:t>
      </w:r>
      <w:r w:rsidR="00D3676A" w:rsidRPr="00665B9F">
        <w:rPr>
          <w:rFonts w:ascii="Open Sans" w:hAnsi="Open Sans" w:cs="Open Sans"/>
          <w:sz w:val="22"/>
          <w:szCs w:val="22"/>
          <w:lang w:val="en-US"/>
        </w:rPr>
        <w:t xml:space="preserve"> are</w:t>
      </w:r>
      <w:r w:rsidR="009E79BB" w:rsidRPr="00665B9F">
        <w:rPr>
          <w:rFonts w:ascii="Open Sans" w:hAnsi="Open Sans" w:cs="Open Sans"/>
          <w:sz w:val="22"/>
          <w:szCs w:val="22"/>
          <w:lang w:val="en-US"/>
        </w:rPr>
        <w:t xml:space="preserve"> mentioned in several of the </w:t>
      </w:r>
      <w:r w:rsidR="006B12E8" w:rsidRPr="00665B9F">
        <w:rPr>
          <w:rFonts w:ascii="Open Sans" w:hAnsi="Open Sans" w:cs="Open Sans"/>
          <w:sz w:val="22"/>
          <w:szCs w:val="22"/>
          <w:lang w:val="en-US"/>
        </w:rPr>
        <w:t>countries’</w:t>
      </w:r>
      <w:r w:rsidR="009E79BB" w:rsidRPr="00665B9F">
        <w:rPr>
          <w:rFonts w:ascii="Open Sans" w:hAnsi="Open Sans" w:cs="Open Sans"/>
          <w:sz w:val="22"/>
          <w:szCs w:val="22"/>
          <w:lang w:val="en-US"/>
        </w:rPr>
        <w:t xml:space="preserve"> reports</w:t>
      </w:r>
      <w:r w:rsidR="00740A9E" w:rsidRPr="00665B9F">
        <w:rPr>
          <w:rFonts w:ascii="Open Sans" w:hAnsi="Open Sans" w:cs="Open Sans"/>
          <w:sz w:val="22"/>
          <w:szCs w:val="22"/>
          <w:lang w:val="en-US"/>
        </w:rPr>
        <w:t>.</w:t>
      </w:r>
    </w:p>
    <w:p w14:paraId="0F3E1CD4" w14:textId="5B6162DE" w:rsidR="00931922" w:rsidRPr="00931922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Innovation &amp; eco-investments: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Some </w:t>
      </w:r>
      <w:r w:rsidR="007259E4" w:rsidRPr="00665B9F">
        <w:rPr>
          <w:rFonts w:ascii="Open Sans" w:hAnsi="Open Sans" w:cs="Open Sans"/>
          <w:sz w:val="22"/>
          <w:szCs w:val="22"/>
          <w:lang w:val="en-US"/>
        </w:rPr>
        <w:t>countries/</w:t>
      </w:r>
      <w:r w:rsidRPr="00931922">
        <w:rPr>
          <w:rFonts w:ascii="Open Sans" w:hAnsi="Open Sans" w:cs="Open Sans"/>
          <w:sz w:val="22"/>
          <w:szCs w:val="22"/>
          <w:lang w:val="en-US"/>
        </w:rPr>
        <w:t>regions (Puglia in Italy, Slovenia</w:t>
      </w:r>
      <w:r w:rsidR="00E00A86" w:rsidRPr="00665B9F">
        <w:rPr>
          <w:rFonts w:ascii="Open Sans" w:hAnsi="Open Sans" w:cs="Open Sans"/>
          <w:sz w:val="22"/>
          <w:szCs w:val="22"/>
          <w:lang w:val="en-US"/>
        </w:rPr>
        <w:t xml:space="preserve"> and Central Macedonia in Greece</w:t>
      </w:r>
      <w:r w:rsidRPr="00931922">
        <w:rPr>
          <w:rFonts w:ascii="Open Sans" w:hAnsi="Open Sans" w:cs="Open Sans"/>
          <w:sz w:val="22"/>
          <w:szCs w:val="22"/>
          <w:lang w:val="en-US"/>
        </w:rPr>
        <w:t>) show uptake of eco-innovation</w:t>
      </w:r>
      <w:r w:rsidR="00D76FD1" w:rsidRPr="00665B9F">
        <w:rPr>
          <w:rFonts w:ascii="Open Sans" w:hAnsi="Open Sans" w:cs="Open Sans"/>
          <w:sz w:val="22"/>
          <w:szCs w:val="22"/>
          <w:lang w:val="en-US"/>
        </w:rPr>
        <w:t xml:space="preserve"> in</w:t>
      </w:r>
      <w:r w:rsidR="006959DA" w:rsidRPr="00665B9F">
        <w:rPr>
          <w:rFonts w:ascii="Open Sans" w:hAnsi="Open Sans" w:cs="Open Sans"/>
          <w:sz w:val="22"/>
          <w:szCs w:val="22"/>
          <w:lang w:val="en-US"/>
        </w:rPr>
        <w:t xml:space="preserve"> businesses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, </w:t>
      </w:r>
      <w:r w:rsidR="00034F32" w:rsidRPr="00665B9F">
        <w:rPr>
          <w:rFonts w:ascii="Open Sans" w:hAnsi="Open Sans" w:cs="Open Sans"/>
          <w:sz w:val="22"/>
          <w:szCs w:val="22"/>
          <w:lang w:val="en-GB"/>
        </w:rPr>
        <w:t xml:space="preserve">Banja Luka (RS) </w:t>
      </w:r>
      <w:r w:rsidR="00034F32" w:rsidRPr="00665B9F">
        <w:rPr>
          <w:rFonts w:ascii="Open Sans" w:hAnsi="Open Sans" w:cs="Open Sans"/>
          <w:sz w:val="22"/>
          <w:szCs w:val="22"/>
          <w:lang w:val="en-US"/>
        </w:rPr>
        <w:t>(Bosnia Herzegovina)</w:t>
      </w:r>
      <w:r w:rsidR="00B811A1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DF535E" w:rsidRPr="00665B9F">
        <w:rPr>
          <w:rFonts w:ascii="Open Sans" w:hAnsi="Open Sans" w:cs="Open Sans"/>
          <w:sz w:val="22"/>
          <w:szCs w:val="22"/>
          <w:lang w:val="en-US"/>
        </w:rPr>
        <w:t>and Albania reported data of business making innovation efforts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t xml:space="preserve">. Structural barriers that are 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lastRenderedPageBreak/>
        <w:t>pointed out through several countries</w:t>
      </w:r>
      <w:r w:rsidR="001670FB">
        <w:rPr>
          <w:rFonts w:ascii="Open Sans" w:hAnsi="Open Sans" w:cs="Open Sans"/>
          <w:sz w:val="22"/>
          <w:szCs w:val="22"/>
          <w:lang w:val="en-US"/>
        </w:rPr>
        <w:t>’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t xml:space="preserve"> reports include </w:t>
      </w:r>
      <w:r w:rsidR="00D655E4" w:rsidRPr="00665B9F">
        <w:rPr>
          <w:rFonts w:ascii="Open Sans" w:hAnsi="Open Sans" w:cs="Open Sans"/>
          <w:sz w:val="22"/>
          <w:szCs w:val="22"/>
          <w:lang w:val="en-US"/>
        </w:rPr>
        <w:t xml:space="preserve">private-public collaborations, 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t xml:space="preserve">financing, </w:t>
      </w:r>
      <w:r w:rsidR="004B46D4" w:rsidRPr="00665B9F">
        <w:rPr>
          <w:rFonts w:ascii="Open Sans" w:hAnsi="Open Sans" w:cs="Open Sans"/>
          <w:sz w:val="22"/>
          <w:szCs w:val="22"/>
          <w:lang w:val="en-US"/>
        </w:rPr>
        <w:t>consumers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t xml:space="preserve"> and </w:t>
      </w:r>
      <w:r w:rsidR="00184836" w:rsidRPr="00665B9F">
        <w:rPr>
          <w:rFonts w:ascii="Open Sans" w:hAnsi="Open Sans" w:cs="Open Sans"/>
          <w:sz w:val="22"/>
          <w:szCs w:val="22"/>
          <w:lang w:val="en-US"/>
        </w:rPr>
        <w:t>SMEs</w:t>
      </w:r>
      <w:r w:rsidR="00E61629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3860D1" w:rsidRPr="00665B9F">
        <w:rPr>
          <w:rFonts w:ascii="Open Sans" w:hAnsi="Open Sans" w:cs="Open Sans"/>
          <w:sz w:val="22"/>
          <w:szCs w:val="22"/>
          <w:lang w:val="en-US"/>
        </w:rPr>
        <w:t>awareness</w:t>
      </w:r>
      <w:r w:rsidR="004F40B7" w:rsidRPr="00665B9F">
        <w:rPr>
          <w:rFonts w:ascii="Open Sans" w:hAnsi="Open Sans" w:cs="Open Sans"/>
          <w:sz w:val="22"/>
          <w:szCs w:val="22"/>
          <w:lang w:val="en-US"/>
        </w:rPr>
        <w:t>.</w:t>
      </w:r>
      <w:r w:rsidR="004B6F5F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</w:p>
    <w:p w14:paraId="5CE4B86C" w14:textId="356C922B" w:rsidR="00931922" w:rsidRPr="00931922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Green jobs &amp; skills: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Demand for new skills is growing, but training opportunities remain uneven. Regions such as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Puglia (Italy)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and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Slovenia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show strong job growth in green sectors, while others need reskilling programs to ensure just transition.</w:t>
      </w:r>
    </w:p>
    <w:p w14:paraId="13C571C1" w14:textId="0CBD6987" w:rsidR="00631D50" w:rsidRPr="00665B9F" w:rsidRDefault="00931922" w:rsidP="00665B9F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Good practices are transferable</w:t>
      </w:r>
      <w:r w:rsidR="00823AA8" w:rsidRPr="00665B9F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and present sectoral focus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: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From women-led energy cooperatives in Greece to </w:t>
      </w:r>
      <w:r w:rsidR="003145E7">
        <w:rPr>
          <w:rFonts w:ascii="Open Sans" w:hAnsi="Open Sans" w:cs="Open Sans"/>
          <w:sz w:val="22"/>
          <w:szCs w:val="22"/>
          <w:lang w:val="en-US"/>
        </w:rPr>
        <w:t>sustainable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 textiles in Slovenia and </w:t>
      </w:r>
      <w:r w:rsidR="00941082" w:rsidRPr="00941082">
        <w:rPr>
          <w:rFonts w:ascii="Open Sans" w:hAnsi="Open Sans" w:cs="Open Sans"/>
          <w:sz w:val="22"/>
          <w:szCs w:val="22"/>
          <w:lang w:val="en-US"/>
        </w:rPr>
        <w:t>olive oil waste into cosmetics</w:t>
      </w:r>
      <w:r w:rsidR="00941082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in </w:t>
      </w:r>
      <w:r w:rsidR="00941082">
        <w:rPr>
          <w:rFonts w:ascii="Open Sans" w:hAnsi="Open Sans" w:cs="Open Sans"/>
          <w:sz w:val="22"/>
          <w:szCs w:val="22"/>
          <w:lang w:val="en-US"/>
        </w:rPr>
        <w:t>A</w:t>
      </w:r>
      <w:r w:rsidR="00362996">
        <w:rPr>
          <w:rFonts w:ascii="Open Sans" w:hAnsi="Open Sans" w:cs="Open Sans"/>
          <w:sz w:val="22"/>
          <w:szCs w:val="22"/>
          <w:lang w:val="en-US"/>
        </w:rPr>
        <w:t>lbani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, </w:t>
      </w:r>
      <w:r w:rsidR="00F33916">
        <w:rPr>
          <w:rFonts w:ascii="Open Sans" w:hAnsi="Open Sans" w:cs="Open Sans"/>
          <w:b/>
          <w:bCs/>
          <w:sz w:val="22"/>
          <w:szCs w:val="22"/>
          <w:lang w:val="en-US"/>
        </w:rPr>
        <w:t>most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proven models can be adapted across borders</w:t>
      </w:r>
      <w:r w:rsidRPr="00931922">
        <w:rPr>
          <w:rFonts w:ascii="Open Sans" w:hAnsi="Open Sans" w:cs="Open Sans"/>
          <w:sz w:val="22"/>
          <w:szCs w:val="22"/>
          <w:lang w:val="en-US"/>
        </w:rPr>
        <w:t>.</w:t>
      </w:r>
      <w:r w:rsidR="00823AA8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9C6974" w:rsidRPr="00665B9F">
        <w:rPr>
          <w:rFonts w:ascii="Open Sans" w:hAnsi="Open Sans" w:cs="Open Sans"/>
          <w:sz w:val="22"/>
          <w:szCs w:val="22"/>
          <w:lang w:val="en-US"/>
        </w:rPr>
        <w:t xml:space="preserve">A sectoral focus </w:t>
      </w:r>
      <w:r w:rsidR="001833E2">
        <w:rPr>
          <w:rFonts w:ascii="Open Sans" w:hAnsi="Open Sans" w:cs="Open Sans"/>
          <w:sz w:val="22"/>
          <w:szCs w:val="22"/>
          <w:lang w:val="en-US"/>
        </w:rPr>
        <w:t xml:space="preserve">of good practices </w:t>
      </w:r>
      <w:r w:rsidR="00994EF8" w:rsidRPr="00665B9F">
        <w:rPr>
          <w:rFonts w:ascii="Open Sans" w:hAnsi="Open Sans" w:cs="Open Sans"/>
          <w:sz w:val="22"/>
          <w:szCs w:val="22"/>
          <w:lang w:val="en-US"/>
        </w:rPr>
        <w:t xml:space="preserve">reveals </w:t>
      </w:r>
      <w:r w:rsidR="00631D50" w:rsidRPr="00665B9F">
        <w:rPr>
          <w:rFonts w:ascii="Open Sans" w:hAnsi="Open Sans" w:cs="Open Sans"/>
          <w:sz w:val="22"/>
          <w:szCs w:val="22"/>
          <w:lang w:val="en-US"/>
        </w:rPr>
        <w:t xml:space="preserve">a </w:t>
      </w:r>
      <w:r w:rsidR="00871E31" w:rsidRPr="00665B9F">
        <w:rPr>
          <w:rFonts w:ascii="Open Sans" w:hAnsi="Open Sans" w:cs="Open Sans"/>
          <w:sz w:val="22"/>
          <w:szCs w:val="22"/>
          <w:lang w:val="en-US"/>
        </w:rPr>
        <w:t>d</w:t>
      </w:r>
      <w:r w:rsidR="00631D50" w:rsidRPr="00665B9F">
        <w:rPr>
          <w:rFonts w:ascii="Open Sans" w:hAnsi="Open Sans" w:cs="Open Sans"/>
          <w:sz w:val="22"/>
          <w:szCs w:val="22"/>
          <w:lang w:val="en-US"/>
        </w:rPr>
        <w:t>ominance of the “Energy &amp; Sustainable Environment” Sector (40%)</w:t>
      </w:r>
      <w:r w:rsidR="00871E31" w:rsidRPr="00665B9F">
        <w:rPr>
          <w:rFonts w:ascii="Open Sans" w:hAnsi="Open Sans" w:cs="Open Sans"/>
          <w:sz w:val="22"/>
          <w:szCs w:val="22"/>
          <w:lang w:val="en-US"/>
        </w:rPr>
        <w:t>,</w:t>
      </w:r>
      <w:r w:rsidR="00B138C6" w:rsidRPr="00665B9F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A25BA6" w:rsidRPr="00665B9F">
        <w:rPr>
          <w:rFonts w:ascii="Open Sans" w:hAnsi="Open Sans" w:cs="Open Sans"/>
          <w:sz w:val="22"/>
          <w:szCs w:val="22"/>
          <w:lang w:val="en-US"/>
        </w:rPr>
        <w:t xml:space="preserve">followed by </w:t>
      </w:r>
      <w:r w:rsidR="00B138C6" w:rsidRPr="00665B9F">
        <w:rPr>
          <w:rFonts w:ascii="Open Sans" w:hAnsi="Open Sans" w:cs="Open Sans"/>
          <w:sz w:val="22"/>
          <w:szCs w:val="22"/>
          <w:lang w:val="en-US"/>
        </w:rPr>
        <w:t>Manufacturing (27%),</w:t>
      </w:r>
      <w:r w:rsidR="00756744" w:rsidRPr="00665B9F">
        <w:rPr>
          <w:rFonts w:ascii="Open Sans" w:hAnsi="Open Sans" w:cs="Open Sans"/>
          <w:sz w:val="22"/>
          <w:szCs w:val="22"/>
          <w:lang w:val="en-US"/>
        </w:rPr>
        <w:t xml:space="preserve"> ICT Integration as a Key Enabler (18%),</w:t>
      </w:r>
      <w:r w:rsidR="00F27C7A" w:rsidRPr="00665B9F">
        <w:rPr>
          <w:rFonts w:ascii="Open Sans" w:hAnsi="Open Sans" w:cs="Open Sans"/>
          <w:sz w:val="22"/>
          <w:szCs w:val="22"/>
          <w:lang w:val="en-US"/>
        </w:rPr>
        <w:t xml:space="preserve"> and </w:t>
      </w:r>
      <w:r w:rsidR="005B78DF" w:rsidRPr="00665B9F">
        <w:rPr>
          <w:rFonts w:ascii="Open Sans" w:hAnsi="Open Sans" w:cs="Open Sans"/>
          <w:sz w:val="22"/>
          <w:szCs w:val="22"/>
          <w:lang w:val="en-US"/>
        </w:rPr>
        <w:t>Smart City / Smart Mobility (15%)</w:t>
      </w:r>
      <w:r w:rsidR="00F27C7A" w:rsidRPr="00665B9F">
        <w:rPr>
          <w:rFonts w:ascii="Open Sans" w:hAnsi="Open Sans" w:cs="Open Sans"/>
          <w:sz w:val="22"/>
          <w:szCs w:val="22"/>
          <w:lang w:val="en-US"/>
        </w:rPr>
        <w:t xml:space="preserve"> as emerging</w:t>
      </w:r>
      <w:r w:rsidR="00E17871">
        <w:rPr>
          <w:rFonts w:ascii="Open Sans" w:hAnsi="Open Sans" w:cs="Open Sans"/>
          <w:sz w:val="22"/>
          <w:szCs w:val="22"/>
          <w:lang w:val="en-US"/>
        </w:rPr>
        <w:t>.</w:t>
      </w:r>
    </w:p>
    <w:p w14:paraId="4D83E50B" w14:textId="4290E46E" w:rsidR="00931922" w:rsidRPr="00931922" w:rsidRDefault="00F27C7A" w:rsidP="00665B9F">
      <w:pPr>
        <w:ind w:left="720"/>
        <w:jc w:val="both"/>
        <w:rPr>
          <w:rFonts w:ascii="Open Sans" w:hAnsi="Open Sans" w:cs="Open Sans"/>
          <w:sz w:val="22"/>
          <w:szCs w:val="22"/>
          <w:lang w:val="en-US"/>
        </w:rPr>
      </w:pPr>
      <w:r w:rsidRPr="00665B9F">
        <w:rPr>
          <w:rFonts w:ascii="Open Sans" w:eastAsia="Aptos" w:hAnsi="Open Sans" w:cs="Open Sans"/>
          <w:noProof/>
          <w:kern w:val="0"/>
          <w:sz w:val="22"/>
          <w:szCs w:val="22"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36FF2" wp14:editId="37258AEB">
                <wp:simplePos x="0" y="0"/>
                <wp:positionH relativeFrom="column">
                  <wp:posOffset>0</wp:posOffset>
                </wp:positionH>
                <wp:positionV relativeFrom="paragraph">
                  <wp:posOffset>3542030</wp:posOffset>
                </wp:positionV>
                <wp:extent cx="5697220" cy="635"/>
                <wp:effectExtent l="0" t="0" r="0" b="0"/>
                <wp:wrapSquare wrapText="bothSides"/>
                <wp:docPr id="12261566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2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3E28AE" w14:textId="64E6327C" w:rsidR="00F27C7A" w:rsidRPr="002C23D0" w:rsidRDefault="00F27C7A" w:rsidP="00F27C7A">
                            <w:pPr>
                              <w:pStyle w:val="Napis"/>
                              <w:rPr>
                                <w:noProof/>
                                <w:szCs w:val="22"/>
                                <w:lang w:val="en-US"/>
                              </w:rPr>
                            </w:pPr>
                            <w:bookmarkStart w:id="0" w:name="_Toc206760369"/>
                            <w:r w:rsidRPr="00F27C7A">
                              <w:rPr>
                                <w:lang w:val="en-US"/>
                              </w:rPr>
                              <w:t>Sectoral Allocation of Good Practices Identified (Based on S3 Priorities)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36F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78.9pt;width:448.6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McFQIAADgEAAAOAAAAZHJzL2Uyb0RvYy54bWysU8GO0zAQvSPxD5bvNG3RFoiarkpXRUir&#10;3ZW6aM+u4zSRbI8Zu03K1zN2khYWToiLM/GM33jee17edkazk0LfgC34bDLlTFkJZWMPBf/2vH33&#10;kTMfhC2FBqsKflae367evlm2LldzqEGXChmBWJ+3ruB1CC7PMi9rZYSfgFOWkhWgEYF+8ZCVKFpC&#10;NzqbT6eLrAUsHYJU3tPuXZ/kq4RfVUqGx6ryKjBdcLpbSCumdR/XbLUU+QGFqxs5XEP8wy2MaCw1&#10;vUDdiSDYEZs/oEwjETxUYSLBZFBVjVRpBppmNn01za4WTqVZiBzvLjT5/wcrH04794QsdJ+hIwEj&#10;Ia3zuafNOE9XoYlfuimjPFF4vtCmusAkbd4sPn2YzyklKbd4fxMxsutRhz58UWBYDAqOpEmiSpzu&#10;fehLx5LYyYNuym2jdfyJiY1GdhKkX1s3QQ3gv1VpG2stxFM9YNzJrnPEKHT7bhhuD+WZZkbo7eCd&#10;3DbU6F748CSQ9KdZyNPhkZZKQ1twGCLOasAff9uP9SQLZTlryU8F99+PAhVn+qslwaL5xgDHYD8G&#10;9mg2QCPO6LU4mUI6gEGPYYVgXsjq69iFUsJK6lXwMIab0LuanopU63UqIos5Ee7tzskIPRL63L0I&#10;dIMcgVR8gNFpIn+lSl+bdHHrYyCKk2SR0J7FgWeyZxJ9eErR/7/+p6rrg1/9BAAA//8DAFBLAwQU&#10;AAYACAAAACEAmLYJn98AAAAIAQAADwAAAGRycy9kb3ducmV2LnhtbEyPTU/DMAyG70j8h8hIXBBL&#10;GfssTadpgsO4TJRduGWN1xYap0rSrfz7GS5wtF/r9fNkq8G24oQ+NI4UPIwSEEilMw1VCvbvL/cL&#10;ECFqMrp1hAq+McAqv77KdGrcmd7wVMRKcAmFVCuoY+xSKUNZo9Vh5Dokzo7OWx159JU0Xp+53LZy&#10;nCQzaXVD/KHWHW5qLL+K3irYTT529V1/fH5dTx79dt9vZp9VodTtzbB+AhFxiH/H8IPP6JAz08H1&#10;ZIJoFbBIVDCdzlmA48VyPgZx+N0sQeaZ/C+QXwAAAP//AwBQSwECLQAUAAYACAAAACEAtoM4kv4A&#10;AADhAQAAEwAAAAAAAAAAAAAAAAAAAAAAW0NvbnRlbnRfVHlwZXNdLnhtbFBLAQItABQABgAIAAAA&#10;IQA4/SH/1gAAAJQBAAALAAAAAAAAAAAAAAAAAC8BAABfcmVscy8ucmVsc1BLAQItABQABgAIAAAA&#10;IQCdc5McFQIAADgEAAAOAAAAAAAAAAAAAAAAAC4CAABkcnMvZTJvRG9jLnhtbFBLAQItABQABgAI&#10;AAAAIQCYtgmf3wAAAAgBAAAPAAAAAAAAAAAAAAAAAG8EAABkcnMvZG93bnJldi54bWxQSwUGAAAA&#10;AAQABADzAAAAewUAAAAA&#10;" stroked="f">
                <v:textbox style="mso-fit-shape-to-text:t" inset="0,0,0,0">
                  <w:txbxContent>
                    <w:p w14:paraId="623E28AE" w14:textId="64E6327C" w:rsidR="00F27C7A" w:rsidRPr="002C23D0" w:rsidRDefault="00F27C7A" w:rsidP="00F27C7A">
                      <w:pPr>
                        <w:pStyle w:val="Napis"/>
                        <w:rPr>
                          <w:noProof/>
                          <w:szCs w:val="22"/>
                          <w:lang w:val="en-US"/>
                        </w:rPr>
                      </w:pPr>
                      <w:bookmarkStart w:id="1" w:name="_Toc206760369"/>
                      <w:r w:rsidRPr="00F27C7A">
                        <w:rPr>
                          <w:lang w:val="en-US"/>
                        </w:rPr>
                        <w:t>Sectoral Allocation of Good Practices Identified (Based on S3 Priorities)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51350" w:rsidRPr="00665B9F">
        <w:rPr>
          <w:rFonts w:ascii="Open Sans" w:hAnsi="Open Sans" w:cs="Open Sans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751D476" wp14:editId="22E84F64">
            <wp:simplePos x="0" y="0"/>
            <wp:positionH relativeFrom="column">
              <wp:posOffset>0</wp:posOffset>
            </wp:positionH>
            <wp:positionV relativeFrom="paragraph">
              <wp:posOffset>309245</wp:posOffset>
            </wp:positionV>
            <wp:extent cx="5848350" cy="3076575"/>
            <wp:effectExtent l="0" t="0" r="0" b="9525"/>
            <wp:wrapSquare wrapText="bothSides"/>
            <wp:docPr id="762597052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4DB95E30-8A52-FDFF-EC24-90BD4D7DBD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E7DD0" w14:textId="77779B62" w:rsidR="00E51350" w:rsidRPr="00665B9F" w:rsidRDefault="00E51350" w:rsidP="00665B9F">
      <w:pPr>
        <w:jc w:val="both"/>
        <w:rPr>
          <w:rFonts w:ascii="Open Sans" w:hAnsi="Open Sans" w:cs="Open Sans"/>
          <w:b/>
          <w:bCs/>
          <w:sz w:val="22"/>
          <w:szCs w:val="22"/>
          <w:lang w:val="en-US"/>
        </w:rPr>
      </w:pPr>
    </w:p>
    <w:p w14:paraId="57F6C0B8" w14:textId="7D0CD6AB" w:rsidR="00931922" w:rsidRPr="00931922" w:rsidRDefault="00931922" w:rsidP="00665B9F">
      <w:pPr>
        <w:jc w:val="both"/>
        <w:rPr>
          <w:rFonts w:ascii="Open Sans" w:hAnsi="Open Sans" w:cs="Open Sans"/>
          <w:b/>
          <w:bCs/>
          <w:sz w:val="22"/>
          <w:szCs w:val="22"/>
          <w:lang w:val="en-US"/>
        </w:rPr>
      </w:pP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Why it matters</w:t>
      </w:r>
      <w:r w:rsidR="000D3CE3">
        <w:rPr>
          <w:rFonts w:ascii="Open Sans" w:hAnsi="Open Sans" w:cs="Open Sans"/>
          <w:b/>
          <w:bCs/>
          <w:sz w:val="22"/>
          <w:szCs w:val="22"/>
          <w:lang w:val="en-US"/>
        </w:rPr>
        <w:t xml:space="preserve"> </w:t>
      </w:r>
    </w:p>
    <w:p w14:paraId="3857DB2D" w14:textId="17165983" w:rsidR="00304009" w:rsidRDefault="00A943CA" w:rsidP="004B3A96">
      <w:pPr>
        <w:rPr>
          <w:rFonts w:ascii="Open Sans" w:hAnsi="Open Sans" w:cs="Open Sans"/>
          <w:sz w:val="22"/>
          <w:szCs w:val="22"/>
          <w:lang w:val="en-US"/>
        </w:rPr>
      </w:pPr>
      <w:r>
        <w:rPr>
          <w:rFonts w:ascii="Open Sans" w:hAnsi="Open Sans" w:cs="Open Sans"/>
          <w:sz w:val="22"/>
          <w:szCs w:val="22"/>
          <w:lang w:val="en-US"/>
        </w:rPr>
        <w:t>T</w:t>
      </w:r>
      <w:r w:rsidR="00304009" w:rsidRPr="00304009">
        <w:rPr>
          <w:rFonts w:ascii="Open Sans" w:hAnsi="Open Sans" w:cs="Open Sans"/>
          <w:sz w:val="22"/>
          <w:szCs w:val="22"/>
          <w:lang w:val="en-US"/>
        </w:rPr>
        <w:t xml:space="preserve">he emerging trends </w:t>
      </w:r>
      <w:r>
        <w:rPr>
          <w:rFonts w:ascii="Open Sans" w:hAnsi="Open Sans" w:cs="Open Sans"/>
          <w:sz w:val="22"/>
          <w:szCs w:val="22"/>
          <w:lang w:val="en-US"/>
        </w:rPr>
        <w:t xml:space="preserve">as </w:t>
      </w:r>
      <w:r w:rsidR="001C68C6">
        <w:rPr>
          <w:rFonts w:ascii="Open Sans" w:hAnsi="Open Sans" w:cs="Open Sans"/>
          <w:sz w:val="22"/>
          <w:szCs w:val="22"/>
          <w:lang w:val="en-US"/>
        </w:rPr>
        <w:t>previously</w:t>
      </w:r>
      <w:r w:rsidR="00304009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="00A81431">
        <w:rPr>
          <w:rFonts w:ascii="Open Sans" w:hAnsi="Open Sans" w:cs="Open Sans"/>
          <w:sz w:val="22"/>
          <w:szCs w:val="22"/>
          <w:lang w:val="en-US"/>
        </w:rPr>
        <w:t xml:space="preserve">highlighted </w:t>
      </w:r>
      <w:r w:rsidR="001C68C6">
        <w:rPr>
          <w:rFonts w:ascii="Open Sans" w:hAnsi="Open Sans" w:cs="Open Sans"/>
          <w:sz w:val="22"/>
          <w:szCs w:val="22"/>
          <w:lang w:val="en-US"/>
        </w:rPr>
        <w:t xml:space="preserve">pave the way for: </w:t>
      </w:r>
    </w:p>
    <w:p w14:paraId="73752E79" w14:textId="77777777" w:rsidR="00656D64" w:rsidRPr="00573611" w:rsidRDefault="00656D64" w:rsidP="00656D64">
      <w:pPr>
        <w:spacing w:after="120" w:line="240" w:lineRule="atLeast"/>
        <w:jc w:val="both"/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</w:pPr>
      <w:r w:rsidRPr="00573611"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t>Quadruple Helix Collaboration: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Growing cooperation among SMEs, academia, public authorities, and civil society highlights the importance of systemic partnerships for sustainable innovation.</w:t>
      </w:r>
    </w:p>
    <w:p w14:paraId="0B294C5B" w14:textId="77777777" w:rsidR="0054462F" w:rsidRPr="00573611" w:rsidRDefault="0054462F" w:rsidP="0054462F">
      <w:pPr>
        <w:spacing w:after="120" w:line="240" w:lineRule="atLeast"/>
        <w:jc w:val="both"/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</w:pPr>
      <w:r w:rsidRPr="00573611"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lastRenderedPageBreak/>
        <w:t>Knowledge Transfer and Good Practices: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Most identified good practices are highly transferable, offering practical models for scaling solutions across borders.</w:t>
      </w:r>
    </w:p>
    <w:p w14:paraId="0F678213" w14:textId="087E1A51" w:rsidR="00573611" w:rsidRPr="00D1191B" w:rsidRDefault="005F08B6" w:rsidP="00573611">
      <w:pPr>
        <w:spacing w:after="120" w:line="240" w:lineRule="atLeast"/>
        <w:jc w:val="both"/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</w:pPr>
      <w:r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t xml:space="preserve">Develop Resilience </w:t>
      </w:r>
      <w:r w:rsidR="00CE7D53"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t xml:space="preserve">against </w:t>
      </w:r>
      <w:r w:rsidR="00573611" w:rsidRPr="00573611"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t>Persistent Challenges:</w:t>
      </w:r>
      <w:r w:rsidR="00573611"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Limited financial resources, uneven</w:t>
      </w:r>
      <w:r w:rsidR="00C71E2D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infrastructure in</w:t>
      </w:r>
      <w:r w:rsidR="00573611"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circular economy, and differences in policy implementation </w:t>
      </w:r>
      <w:r w:rsidR="00CF0074" w:rsidRPr="00D1191B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need to be </w:t>
      </w:r>
      <w:r w:rsidR="00305C32" w:rsidRPr="00D1191B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outweighed for</w:t>
      </w:r>
      <w:r w:rsidR="00573611"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a balanced transition</w:t>
      </w:r>
      <w:r w:rsidR="00313F9C" w:rsidRPr="00D1191B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within the region</w:t>
      </w:r>
      <w:r w:rsidR="004C5EF5" w:rsidRPr="00D1191B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.</w:t>
      </w:r>
    </w:p>
    <w:p w14:paraId="747F10E8" w14:textId="78414F1A" w:rsidR="001F7B47" w:rsidRDefault="005073EC" w:rsidP="003F4F47">
      <w:pPr>
        <w:spacing w:after="120" w:line="240" w:lineRule="atLeast"/>
        <w:jc w:val="both"/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</w:pPr>
      <w:r w:rsidRPr="00573611">
        <w:rPr>
          <w:rFonts w:ascii="Open Sans" w:eastAsia="Aptos" w:hAnsi="Open Sans" w:cs="Open Sans"/>
          <w:b/>
          <w:bCs/>
          <w:kern w:val="0"/>
          <w:sz w:val="22"/>
          <w:szCs w:val="22"/>
          <w:lang w:val="en-US"/>
          <w14:ligatures w14:val="none"/>
        </w:rPr>
        <w:t>SMEs as Engines of Change: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SMEs are c</w:t>
      </w:r>
      <w:r w:rsidR="00703F58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rucial 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to the </w:t>
      </w:r>
      <w:r w:rsidR="00E1573E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green 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transition</w:t>
      </w:r>
      <w:r w:rsidR="00647095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. </w:t>
      </w:r>
      <w:r w:rsidRPr="00573611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</w:t>
      </w:r>
      <w:r w:rsidR="001F7B47" w:rsidRPr="001F7B47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To unlock their potential, support is needed in areas like access to green finance, practical tools</w:t>
      </w:r>
      <w:r w:rsidR="00A70AD2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, </w:t>
      </w:r>
      <w:r w:rsidR="001F7B47" w:rsidRPr="001F7B47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skill development</w:t>
      </w:r>
      <w:r w:rsidR="003F4F47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and eco-innovation </w:t>
      </w:r>
      <w:r w:rsidR="00E028CE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consultancy</w:t>
      </w:r>
      <w:r w:rsidR="00F50D8D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 (powered by BSOs)</w:t>
      </w:r>
      <w:r w:rsidR="001F7B47" w:rsidRPr="001F7B47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, alongside </w:t>
      </w:r>
      <w:r w:rsidR="002975B8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 xml:space="preserve">stimulating </w:t>
      </w:r>
      <w:r w:rsidR="001F7B47" w:rsidRPr="001F7B47"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  <w:t>policy frameworks that promote Environmental, Social, and Governance (ESG) practices and circular economy models.</w:t>
      </w:r>
    </w:p>
    <w:p w14:paraId="07551A70" w14:textId="3A6214D8" w:rsidR="005073EC" w:rsidRPr="00573611" w:rsidRDefault="005073EC" w:rsidP="005073EC">
      <w:pPr>
        <w:spacing w:after="120" w:line="240" w:lineRule="atLeast"/>
        <w:jc w:val="both"/>
        <w:rPr>
          <w:rFonts w:ascii="Open Sans" w:eastAsia="Aptos" w:hAnsi="Open Sans" w:cs="Open Sans"/>
          <w:kern w:val="0"/>
          <w:sz w:val="22"/>
          <w:szCs w:val="22"/>
          <w:lang w:val="en-US"/>
          <w14:ligatures w14:val="none"/>
        </w:rPr>
      </w:pPr>
    </w:p>
    <w:p w14:paraId="304C3800" w14:textId="6BC86C32" w:rsidR="00931922" w:rsidRDefault="00931922" w:rsidP="00665B9F">
      <w:pPr>
        <w:jc w:val="both"/>
        <w:rPr>
          <w:rFonts w:ascii="Open Sans" w:hAnsi="Open Sans" w:cs="Open Sans"/>
          <w:sz w:val="22"/>
          <w:szCs w:val="22"/>
          <w:lang w:val="en-US"/>
        </w:rPr>
      </w:pPr>
      <w:r w:rsidRPr="00931922">
        <w:rPr>
          <w:rFonts w:ascii="Open Sans" w:hAnsi="Open Sans" w:cs="Open Sans"/>
          <w:sz w:val="22"/>
          <w:szCs w:val="22"/>
          <w:lang w:val="en-US"/>
        </w:rPr>
        <w:t xml:space="preserve">The findings show that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regional cooperation and knowledge-sharing are essential</w:t>
      </w:r>
      <w:r w:rsidRPr="00931922">
        <w:rPr>
          <w:rFonts w:ascii="Open Sans" w:hAnsi="Open Sans" w:cs="Open Sans"/>
          <w:sz w:val="22"/>
          <w:szCs w:val="22"/>
          <w:lang w:val="en-US"/>
        </w:rPr>
        <w:t xml:space="preserve">. By exchanging good practices, strengthening support for SMEs, and investing in skills, the Adriatic–Ionian region can accelerate its green transition and ensure </w:t>
      </w:r>
      <w:r w:rsidRPr="00931922">
        <w:rPr>
          <w:rFonts w:ascii="Open Sans" w:hAnsi="Open Sans" w:cs="Open Sans"/>
          <w:b/>
          <w:bCs/>
          <w:sz w:val="22"/>
          <w:szCs w:val="22"/>
          <w:lang w:val="en-US"/>
        </w:rPr>
        <w:t>sustainable, inclusive growth</w:t>
      </w:r>
      <w:r w:rsidRPr="00931922">
        <w:rPr>
          <w:rFonts w:ascii="Open Sans" w:hAnsi="Open Sans" w:cs="Open Sans"/>
          <w:sz w:val="22"/>
          <w:szCs w:val="22"/>
          <w:lang w:val="en-US"/>
        </w:rPr>
        <w:t>.</w:t>
      </w:r>
      <w:r w:rsidR="00E17871">
        <w:rPr>
          <w:rFonts w:ascii="Open Sans" w:hAnsi="Open Sans" w:cs="Open Sans"/>
          <w:sz w:val="22"/>
          <w:szCs w:val="22"/>
          <w:lang w:val="en-US"/>
        </w:rPr>
        <w:t xml:space="preserve"> </w:t>
      </w:r>
    </w:p>
    <w:p w14:paraId="72AC8F3C" w14:textId="77777777" w:rsidR="005C04A1" w:rsidRPr="00931922" w:rsidRDefault="005C04A1" w:rsidP="00665B9F">
      <w:pPr>
        <w:jc w:val="both"/>
        <w:rPr>
          <w:lang w:val="en-US"/>
        </w:rPr>
      </w:pPr>
    </w:p>
    <w:sectPr w:rsidR="005C04A1" w:rsidRPr="00931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6230"/>
    <w:multiLevelType w:val="multilevel"/>
    <w:tmpl w:val="115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C345E"/>
    <w:multiLevelType w:val="multilevel"/>
    <w:tmpl w:val="90105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2965265">
    <w:abstractNumId w:val="0"/>
  </w:num>
  <w:num w:numId="2" w16cid:durableId="190699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BB"/>
    <w:rsid w:val="0000270E"/>
    <w:rsid w:val="00007979"/>
    <w:rsid w:val="000303A7"/>
    <w:rsid w:val="00034F32"/>
    <w:rsid w:val="000519D4"/>
    <w:rsid w:val="00066894"/>
    <w:rsid w:val="00084C86"/>
    <w:rsid w:val="00093C39"/>
    <w:rsid w:val="000A10D6"/>
    <w:rsid w:val="000C7081"/>
    <w:rsid w:val="000D3CE3"/>
    <w:rsid w:val="000D48CD"/>
    <w:rsid w:val="000F0146"/>
    <w:rsid w:val="00102990"/>
    <w:rsid w:val="00106CDC"/>
    <w:rsid w:val="00114BF1"/>
    <w:rsid w:val="00157AD7"/>
    <w:rsid w:val="00160703"/>
    <w:rsid w:val="001670FB"/>
    <w:rsid w:val="00172DCE"/>
    <w:rsid w:val="001833E2"/>
    <w:rsid w:val="00184836"/>
    <w:rsid w:val="00186C10"/>
    <w:rsid w:val="001C2B87"/>
    <w:rsid w:val="001C68C6"/>
    <w:rsid w:val="001C7EFE"/>
    <w:rsid w:val="001F1103"/>
    <w:rsid w:val="001F7B47"/>
    <w:rsid w:val="002975B8"/>
    <w:rsid w:val="002B5A83"/>
    <w:rsid w:val="002B5D6A"/>
    <w:rsid w:val="002C6EDC"/>
    <w:rsid w:val="002D0CE9"/>
    <w:rsid w:val="002F561B"/>
    <w:rsid w:val="00304009"/>
    <w:rsid w:val="00305C32"/>
    <w:rsid w:val="00313F9C"/>
    <w:rsid w:val="003145E7"/>
    <w:rsid w:val="00347CEA"/>
    <w:rsid w:val="00362996"/>
    <w:rsid w:val="00373B45"/>
    <w:rsid w:val="003860D1"/>
    <w:rsid w:val="003E13DA"/>
    <w:rsid w:val="003F16B5"/>
    <w:rsid w:val="003F4F47"/>
    <w:rsid w:val="004248BC"/>
    <w:rsid w:val="00431CC3"/>
    <w:rsid w:val="00440368"/>
    <w:rsid w:val="0044720E"/>
    <w:rsid w:val="0046788C"/>
    <w:rsid w:val="004B078B"/>
    <w:rsid w:val="004B3A96"/>
    <w:rsid w:val="004B46D4"/>
    <w:rsid w:val="004B6D42"/>
    <w:rsid w:val="004B6F5F"/>
    <w:rsid w:val="004C5605"/>
    <w:rsid w:val="004C5EF5"/>
    <w:rsid w:val="004F40B7"/>
    <w:rsid w:val="005073EC"/>
    <w:rsid w:val="00523F42"/>
    <w:rsid w:val="00535C63"/>
    <w:rsid w:val="0054462F"/>
    <w:rsid w:val="005539E5"/>
    <w:rsid w:val="0055695F"/>
    <w:rsid w:val="00564FB9"/>
    <w:rsid w:val="00573611"/>
    <w:rsid w:val="005957E9"/>
    <w:rsid w:val="005A38E3"/>
    <w:rsid w:val="005B78DF"/>
    <w:rsid w:val="005C04A1"/>
    <w:rsid w:val="005E2C4E"/>
    <w:rsid w:val="005F08B6"/>
    <w:rsid w:val="005F3463"/>
    <w:rsid w:val="00604CEA"/>
    <w:rsid w:val="006071C2"/>
    <w:rsid w:val="00610B06"/>
    <w:rsid w:val="00631D50"/>
    <w:rsid w:val="00647095"/>
    <w:rsid w:val="00656D64"/>
    <w:rsid w:val="00665B9F"/>
    <w:rsid w:val="00680DF0"/>
    <w:rsid w:val="006959DA"/>
    <w:rsid w:val="006B12E8"/>
    <w:rsid w:val="006B35EC"/>
    <w:rsid w:val="006C10A3"/>
    <w:rsid w:val="006F17C4"/>
    <w:rsid w:val="00703D34"/>
    <w:rsid w:val="00703F58"/>
    <w:rsid w:val="007259E4"/>
    <w:rsid w:val="00740A9E"/>
    <w:rsid w:val="00756744"/>
    <w:rsid w:val="007D105C"/>
    <w:rsid w:val="007F255D"/>
    <w:rsid w:val="007F5702"/>
    <w:rsid w:val="008238CB"/>
    <w:rsid w:val="00823AA8"/>
    <w:rsid w:val="00841F2E"/>
    <w:rsid w:val="00871E31"/>
    <w:rsid w:val="00885D63"/>
    <w:rsid w:val="008A5171"/>
    <w:rsid w:val="008D318D"/>
    <w:rsid w:val="008E259C"/>
    <w:rsid w:val="00926B68"/>
    <w:rsid w:val="00931922"/>
    <w:rsid w:val="00941082"/>
    <w:rsid w:val="009413AF"/>
    <w:rsid w:val="00994EF8"/>
    <w:rsid w:val="009A55B3"/>
    <w:rsid w:val="009C6974"/>
    <w:rsid w:val="009E79BB"/>
    <w:rsid w:val="00A22A5C"/>
    <w:rsid w:val="00A25BA6"/>
    <w:rsid w:val="00A4067F"/>
    <w:rsid w:val="00A4370E"/>
    <w:rsid w:val="00A70AD2"/>
    <w:rsid w:val="00A81431"/>
    <w:rsid w:val="00A943CA"/>
    <w:rsid w:val="00AA6B4C"/>
    <w:rsid w:val="00AB7015"/>
    <w:rsid w:val="00B138C6"/>
    <w:rsid w:val="00B40C73"/>
    <w:rsid w:val="00B5638D"/>
    <w:rsid w:val="00B811A1"/>
    <w:rsid w:val="00BC6537"/>
    <w:rsid w:val="00BD59A2"/>
    <w:rsid w:val="00C4294D"/>
    <w:rsid w:val="00C71E2D"/>
    <w:rsid w:val="00C730B0"/>
    <w:rsid w:val="00C76E9E"/>
    <w:rsid w:val="00CE7D53"/>
    <w:rsid w:val="00CF0074"/>
    <w:rsid w:val="00D1191B"/>
    <w:rsid w:val="00D3676A"/>
    <w:rsid w:val="00D50CA5"/>
    <w:rsid w:val="00D555D6"/>
    <w:rsid w:val="00D64C33"/>
    <w:rsid w:val="00D655E4"/>
    <w:rsid w:val="00D76FD1"/>
    <w:rsid w:val="00D77DDA"/>
    <w:rsid w:val="00DF535E"/>
    <w:rsid w:val="00E00A86"/>
    <w:rsid w:val="00E028CE"/>
    <w:rsid w:val="00E061D0"/>
    <w:rsid w:val="00E1573E"/>
    <w:rsid w:val="00E17871"/>
    <w:rsid w:val="00E41C02"/>
    <w:rsid w:val="00E51350"/>
    <w:rsid w:val="00E61629"/>
    <w:rsid w:val="00F27C7A"/>
    <w:rsid w:val="00F27FA4"/>
    <w:rsid w:val="00F33916"/>
    <w:rsid w:val="00F34DA1"/>
    <w:rsid w:val="00F50D8D"/>
    <w:rsid w:val="00FB06F0"/>
    <w:rsid w:val="00FE49CA"/>
    <w:rsid w:val="00FE4FC2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23A4"/>
  <w15:chartTrackingRefBased/>
  <w15:docId w15:val="{98C70A85-A271-4DE3-B92C-619F75A3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F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F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F5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F5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F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F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F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F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F5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F5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F5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54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F54B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F54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F54B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F54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F54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F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F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F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F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F54B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F54B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F54B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F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F54B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F54BB"/>
    <w:rPr>
      <w:b/>
      <w:bCs/>
      <w:smallCaps/>
      <w:color w:val="0F4761" w:themeColor="accent1" w:themeShade="BF"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27C7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Φύλλο2!$G$14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BA9-4E79-9AD4-7ED3529BCC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BA9-4E79-9AD4-7ED3529BCC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BA9-4E79-9AD4-7ED3529BCC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BA9-4E79-9AD4-7ED3529BCCC8}"/>
              </c:ext>
            </c:extLst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Open Sans" panose="020B0606030504020204" pitchFamily="34" charset="0"/>
                      <a:ea typeface="Open Sans" panose="020B0606030504020204" pitchFamily="34" charset="0"/>
                      <a:cs typeface="Open Sans" panose="020B0606030504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1BA9-4E79-9AD4-7ED3529BCCC8}"/>
                </c:ext>
              </c:extLst>
            </c:dLbl>
            <c:dLbl>
              <c:idx val="1"/>
              <c:layout>
                <c:manualLayout>
                  <c:x val="-5.2496814266041698E-2"/>
                  <c:y val="-0.1831562364316979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Open Sans" panose="020B0606030504020204" pitchFamily="34" charset="0"/>
                      <a:ea typeface="Open Sans" panose="020B0606030504020204" pitchFamily="34" charset="0"/>
                      <a:cs typeface="Open Sans" panose="020B0606030504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1048080018986"/>
                      <c:h val="0.137512174800802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BA9-4E79-9AD4-7ED3529BCCC8}"/>
                </c:ext>
              </c:extLst>
            </c:dLbl>
            <c:dLbl>
              <c:idx val="2"/>
              <c:layout>
                <c:manualLayout>
                  <c:x val="0.11382100239255617"/>
                  <c:y val="-0.17619177378782844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Open Sans" panose="020B0606030504020204" pitchFamily="34" charset="0"/>
                      <a:ea typeface="Open Sans" panose="020B0606030504020204" pitchFamily="34" charset="0"/>
                      <a:cs typeface="Open Sans" panose="020B0606030504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BA9-4E79-9AD4-7ED3529BCCC8}"/>
                </c:ext>
              </c:extLst>
            </c:dLbl>
            <c:dLbl>
              <c:idx val="3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Open Sans" panose="020B0606030504020204" pitchFamily="34" charset="0"/>
                      <a:ea typeface="Open Sans" panose="020B0606030504020204" pitchFamily="34" charset="0"/>
                      <a:cs typeface="Open Sans" panose="020B0606030504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721165066529273E-2"/>
                      <c:h val="0.133666733346669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BA9-4E79-9AD4-7ED3529BCCC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Open Sans" panose="020B0606030504020204" pitchFamily="34" charset="0"/>
                    <a:ea typeface="Open Sans" panose="020B0606030504020204" pitchFamily="34" charset="0"/>
                    <a:cs typeface="Open Sans" panose="020B0606030504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Φύλλο2!$H$13:$K$13</c:f>
              <c:strCache>
                <c:ptCount val="4"/>
                <c:pt idx="0">
                  <c:v> Energy &amp; Sustainable Environment</c:v>
                </c:pt>
                <c:pt idx="1">
                  <c:v>Smart City / Smart Mobility</c:v>
                </c:pt>
                <c:pt idx="2">
                  <c:v>Manufacturing</c:v>
                </c:pt>
                <c:pt idx="3">
                  <c:v>ICT</c:v>
                </c:pt>
              </c:strCache>
            </c:strRef>
          </c:cat>
          <c:val>
            <c:numRef>
              <c:f>Φύλλο2!$H$14:$K$14</c:f>
              <c:numCache>
                <c:formatCode>General</c:formatCode>
                <c:ptCount val="4"/>
                <c:pt idx="0">
                  <c:v>5.5</c:v>
                </c:pt>
                <c:pt idx="1">
                  <c:v>2</c:v>
                </c:pt>
                <c:pt idx="2">
                  <c:v>3.75</c:v>
                </c:pt>
                <c:pt idx="3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A9-4E79-9AD4-7ED3529BCCC8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17e26-4318-4aad-9c8e-2cab32cabb2a">
      <Terms xmlns="http://schemas.microsoft.com/office/infopath/2007/PartnerControls"/>
    </lcf76f155ced4ddcb4097134ff3c332f>
    <TaxCatchAll xmlns="0df1cd42-d763-4846-be89-80d3703086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00541A7B833B8408A0B2ED2E080DF17" ma:contentTypeVersion="19" ma:contentTypeDescription="Δημιουργία νέου εγγράφου" ma:contentTypeScope="" ma:versionID="46a5e54d33cfd8e0f0db0dea23aed7fa">
  <xsd:schema xmlns:xsd="http://www.w3.org/2001/XMLSchema" xmlns:xs="http://www.w3.org/2001/XMLSchema" xmlns:p="http://schemas.microsoft.com/office/2006/metadata/properties" xmlns:ns2="8e817e26-4318-4aad-9c8e-2cab32cabb2a" xmlns:ns3="0df1cd42-d763-4846-be89-80d370308695" targetNamespace="http://schemas.microsoft.com/office/2006/metadata/properties" ma:root="true" ma:fieldsID="877373971e6735b5e2c1aafa3adcc92b" ns2:_="" ns3:_="">
    <xsd:import namespace="8e817e26-4318-4aad-9c8e-2cab32cabb2a"/>
    <xsd:import namespace="0df1cd42-d763-4846-be89-80d370308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7e26-4318-4aad-9c8e-2cab32cab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c39bf9a-e2e8-447d-86ef-f5c590b90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cd42-d763-4846-be89-80d370308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54db91-6892-4333-b4e5-27bad2582d23}" ma:internalName="TaxCatchAll" ma:showField="CatchAllData" ma:web="0df1cd42-d763-4846-be89-80d370308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F8F50-79BD-4A2A-889C-F14468178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C48CA-EBCB-4F2E-B1B8-961A5F402180}">
  <ds:schemaRefs>
    <ds:schemaRef ds:uri="http://schemas.microsoft.com/office/2006/metadata/properties"/>
    <ds:schemaRef ds:uri="http://schemas.microsoft.com/office/infopath/2007/PartnerControls"/>
    <ds:schemaRef ds:uri="8e817e26-4318-4aad-9c8e-2cab32cabb2a"/>
    <ds:schemaRef ds:uri="0df1cd42-d763-4846-be89-80d370308695"/>
  </ds:schemaRefs>
</ds:datastoreItem>
</file>

<file path=customXml/itemProps3.xml><?xml version="1.0" encoding="utf-8"?>
<ds:datastoreItem xmlns:ds="http://schemas.openxmlformats.org/officeDocument/2006/customXml" ds:itemID="{19D1B2E9-2849-42B7-89B5-AD3DECF0D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17e26-4318-4aad-9c8e-2cab32cabb2a"/>
    <ds:schemaRef ds:uri="0df1cd42-d763-4846-be89-80d370308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Stefanidou</dc:creator>
  <cp:keywords/>
  <dc:description/>
  <cp:lastModifiedBy>Polonca Zevnik</cp:lastModifiedBy>
  <cp:revision>2</cp:revision>
  <dcterms:created xsi:type="dcterms:W3CDTF">2025-09-01T06:46:00Z</dcterms:created>
  <dcterms:modified xsi:type="dcterms:W3CDTF">2025-09-01T06:46:00Z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0x010100400541A7B833B8408A0B2ED2E080DF17</vt:lpwstr>
  </property>
  <property fmtid="{D5CDD505-2E9C-101B-9397-08002B2CF9AE}" pid="3" name="MediaServiceImageTags">
    <vt:lpwstr/>
  </property>
</Properties>
</file>